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CFE5" w14:textId="77777777" w:rsidR="00A636A1" w:rsidRPr="00A636A1" w:rsidRDefault="00A636A1" w:rsidP="00A636A1">
      <w:pPr>
        <w:spacing w:after="0"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kern w:val="0"/>
          <w:lang w:eastAsia="it-IT"/>
          <w14:ligatures w14:val="none"/>
        </w:rPr>
        <w:t>Generated by AI. Be sure to check for accuracy.</w:t>
      </w:r>
    </w:p>
    <w:p w14:paraId="07D72B3C" w14:textId="77777777" w:rsidR="00A636A1" w:rsidRPr="00A636A1" w:rsidRDefault="00A636A1" w:rsidP="00A636A1">
      <w:pPr>
        <w:spacing w:after="0"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kern w:val="0"/>
          <w:lang w:eastAsia="it-IT"/>
          <w14:ligatures w14:val="none"/>
        </w:rPr>
        <w:t>Meeting notes:</w:t>
      </w:r>
    </w:p>
    <w:p w14:paraId="64A24242" w14:textId="77777777" w:rsidR="00A636A1" w:rsidRPr="00A636A1" w:rsidRDefault="00A636A1" w:rsidP="00A636A1">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Trattati di Pace del 1919 e le Loro Conseguenze: </w:t>
      </w:r>
      <w:r w:rsidRPr="00A636A1">
        <w:rPr>
          <w:rFonts w:ascii="Times New Roman" w:eastAsia="Times New Roman" w:hAnsi="Times New Roman" w:cs="Times New Roman"/>
          <w:kern w:val="0"/>
          <w:lang w:eastAsia="it-IT"/>
          <w14:ligatures w14:val="none"/>
        </w:rPr>
        <w:t>CACCAMO ha illustrato le principali caratteristiche e le conseguenze dei trattati di pace seguiti alla Prima guerra mondiale, soffermandosi sul ruolo degli Stati vincitori, sulle ambizioni di Wilson e sulle ripercussioni per la Germania e i nuovi Stati europei.</w:t>
      </w:r>
    </w:p>
    <w:p w14:paraId="3FD4D749"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Ruolo degli Stati Vincitori: </w:t>
      </w:r>
      <w:r w:rsidRPr="00A636A1">
        <w:rPr>
          <w:rFonts w:ascii="Times New Roman" w:eastAsia="Times New Roman" w:hAnsi="Times New Roman" w:cs="Times New Roman"/>
          <w:kern w:val="0"/>
          <w:lang w:eastAsia="it-IT"/>
          <w14:ligatures w14:val="none"/>
        </w:rPr>
        <w:t>CACCAMO ha spiegato che i negoziati di pace del 1919 a Parigi videro come protagonisti gli Stati vincitori, in un contesto inedito segnato dalla fine degli imperi austro-ungarico, ottomano, tedesco e russo, con la Russia esclusa dal tavolo delle trattative a causa della rivoluzione bolscevica.</w:t>
      </w:r>
    </w:p>
    <w:p w14:paraId="6353E847"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Ambizioni di Wilson: </w:t>
      </w:r>
      <w:r w:rsidRPr="00A636A1">
        <w:rPr>
          <w:rFonts w:ascii="Times New Roman" w:eastAsia="Times New Roman" w:hAnsi="Times New Roman" w:cs="Times New Roman"/>
          <w:kern w:val="0"/>
          <w:lang w:eastAsia="it-IT"/>
          <w14:ligatures w14:val="none"/>
        </w:rPr>
        <w:t>CACCAMO ha sottolineato come il presidente statunitense Wilson abbia portato avanti un progetto di internazionalismo liberale, culminato nella proposta della Società delle Nazioni, con l'obiettivo di evitare futuri conflitti attraverso un sistema multilaterale e criteri di giustizia internazionale.</w:t>
      </w:r>
    </w:p>
    <w:p w14:paraId="2502E70D"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Ripercussioni sulla Germania: </w:t>
      </w:r>
      <w:r w:rsidRPr="00A636A1">
        <w:rPr>
          <w:rFonts w:ascii="Times New Roman" w:eastAsia="Times New Roman" w:hAnsi="Times New Roman" w:cs="Times New Roman"/>
          <w:kern w:val="0"/>
          <w:lang w:eastAsia="it-IT"/>
          <w14:ligatures w14:val="none"/>
        </w:rPr>
        <w:t>CACCAMO ha evidenziato che la Germania fu ritenuta responsabile del conflitto e costretta ad accettare clausole considerate inique, tra cui pesanti riparazioni economiche e limitazioni territoriali e militari, generando un senso di ingiustizia che influenzò la politica interna della Repubblica di Weimar.</w:t>
      </w:r>
    </w:p>
    <w:p w14:paraId="7B66AFD7"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Nuovi Stati e Autodeterminazione: </w:t>
      </w:r>
      <w:r w:rsidRPr="00A636A1">
        <w:rPr>
          <w:rFonts w:ascii="Times New Roman" w:eastAsia="Times New Roman" w:hAnsi="Times New Roman" w:cs="Times New Roman"/>
          <w:kern w:val="0"/>
          <w:lang w:eastAsia="it-IT"/>
          <w14:ligatures w14:val="none"/>
        </w:rPr>
        <w:t>CACCAMO ha affrontato il tema della nascita dei cosiddetti Stati successori nell'Europa orientale, risultato del crollo degli imperi, e ha discusso le difficoltà legate all'applicazione del principio di autodeterminazione, spesso in conflitto tra diversi gruppi etnici e nazionali.</w:t>
      </w:r>
    </w:p>
    <w:p w14:paraId="2D74CE4E" w14:textId="77777777" w:rsidR="00A636A1" w:rsidRPr="00A636A1" w:rsidRDefault="00A636A1" w:rsidP="00A636A1">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Impatto dei Trattati sul Medio Oriente e Colonialismo: </w:t>
      </w:r>
      <w:r w:rsidRPr="00A636A1">
        <w:rPr>
          <w:rFonts w:ascii="Times New Roman" w:eastAsia="Times New Roman" w:hAnsi="Times New Roman" w:cs="Times New Roman"/>
          <w:kern w:val="0"/>
          <w:lang w:eastAsia="it-IT"/>
          <w14:ligatures w14:val="none"/>
        </w:rPr>
        <w:t>CACCAMO ha analizzato le conseguenze della fine dell'Impero ottomano, le promesse britanniche agli arabi e ai sionisti, e la nascita del sistema dei mandati, evidenziando come questi processi abbiano influenzato il Medio Oriente e la questione coloniale.</w:t>
      </w:r>
    </w:p>
    <w:p w14:paraId="751B6245"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Promesse Britanniche Contraddittorie: </w:t>
      </w:r>
      <w:r w:rsidRPr="00A636A1">
        <w:rPr>
          <w:rFonts w:ascii="Times New Roman" w:eastAsia="Times New Roman" w:hAnsi="Times New Roman" w:cs="Times New Roman"/>
          <w:kern w:val="0"/>
          <w:lang w:eastAsia="it-IT"/>
          <w14:ligatures w14:val="none"/>
        </w:rPr>
        <w:t>CACCAMO ha descritto come il Regno Unito abbia fatto promesse inconciliabili sia agli arabi (promettendo la creazione di uno Stato arabo) sia ai sionisti (con la dichiarazione Balfour del 1917), generando tensioni durature nella regione.</w:t>
      </w:r>
    </w:p>
    <w:p w14:paraId="3695EC66"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Accordi Sykes-Picot e Mandati: </w:t>
      </w:r>
      <w:r w:rsidRPr="00A636A1">
        <w:rPr>
          <w:rFonts w:ascii="Times New Roman" w:eastAsia="Times New Roman" w:hAnsi="Times New Roman" w:cs="Times New Roman"/>
          <w:kern w:val="0"/>
          <w:lang w:eastAsia="it-IT"/>
          <w14:ligatures w14:val="none"/>
        </w:rPr>
        <w:t>CACCAMO ha spiegato che gli accordi Sykes-Picot del 1916 tra Regno Unito e Francia definirono le rispettive aree di influenza in Medio Oriente, mentre il sistema dei mandati, sancito dall'articolo 22 della Società delle Nazioni, legittimò una nuova forma di controllo coloniale sotto la veste di tutela e sviluppo dei popoli.</w:t>
      </w:r>
    </w:p>
    <w:p w14:paraId="309ADE25"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Conseguenze Psicologiche e Politiche: </w:t>
      </w:r>
      <w:r w:rsidRPr="00A636A1">
        <w:rPr>
          <w:rFonts w:ascii="Times New Roman" w:eastAsia="Times New Roman" w:hAnsi="Times New Roman" w:cs="Times New Roman"/>
          <w:kern w:val="0"/>
          <w:lang w:eastAsia="it-IT"/>
          <w14:ligatures w14:val="none"/>
        </w:rPr>
        <w:t>CACCAMO ha sottolineato che il senso di tradimento percepito dal mondo arabo e la presenza di leader arabi marginalizzati nei negoziati di pace hanno contribuito a una persistente diffidenza verso l'Occidente e a una difficile realizzazione dell'autodeterminazione.</w:t>
      </w:r>
    </w:p>
    <w:p w14:paraId="40490A28" w14:textId="77777777" w:rsidR="00A636A1" w:rsidRPr="00A636A1" w:rsidRDefault="00A636A1" w:rsidP="00A636A1">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Limiti e Fallimento della Società delle Nazioni: </w:t>
      </w:r>
      <w:r w:rsidRPr="00A636A1">
        <w:rPr>
          <w:rFonts w:ascii="Times New Roman" w:eastAsia="Times New Roman" w:hAnsi="Times New Roman" w:cs="Times New Roman"/>
          <w:kern w:val="0"/>
          <w:lang w:eastAsia="it-IT"/>
          <w14:ligatures w14:val="none"/>
        </w:rPr>
        <w:t>CACCAMO ha discusso i limiti strutturali della Società delle Nazioni, il ruolo marginale degli Stati Uniti e i principali eventi che ne hanno segnato il fallimento, come la crisi della Manciuria, l'uscita della Germania e la crisi etiopica.</w:t>
      </w:r>
    </w:p>
    <w:p w14:paraId="4D177CC4"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Assenza degli Stati Uniti: </w:t>
      </w:r>
      <w:r w:rsidRPr="00A636A1">
        <w:rPr>
          <w:rFonts w:ascii="Times New Roman" w:eastAsia="Times New Roman" w:hAnsi="Times New Roman" w:cs="Times New Roman"/>
          <w:kern w:val="0"/>
          <w:lang w:eastAsia="it-IT"/>
          <w14:ligatures w14:val="none"/>
        </w:rPr>
        <w:t xml:space="preserve">CACCAMO ha evidenziato che la mancata adesione degli Stati Uniti alla Società delle Nazioni, dovuta all'affermarsi </w:t>
      </w:r>
      <w:r w:rsidRPr="00A636A1">
        <w:rPr>
          <w:rFonts w:ascii="Times New Roman" w:eastAsia="Times New Roman" w:hAnsi="Times New Roman" w:cs="Times New Roman"/>
          <w:kern w:val="0"/>
          <w:lang w:eastAsia="it-IT"/>
          <w14:ligatures w14:val="none"/>
        </w:rPr>
        <w:lastRenderedPageBreak/>
        <w:t>dell'isolazionismo, ha privato l'organizzazione di un attore fondamentale, limitandone l'efficacia e la capacità di intervento.</w:t>
      </w:r>
    </w:p>
    <w:p w14:paraId="191A5C0C"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Crisi Internazionali e Inefficacia: </w:t>
      </w:r>
      <w:r w:rsidRPr="00A636A1">
        <w:rPr>
          <w:rFonts w:ascii="Times New Roman" w:eastAsia="Times New Roman" w:hAnsi="Times New Roman" w:cs="Times New Roman"/>
          <w:kern w:val="0"/>
          <w:lang w:eastAsia="it-IT"/>
          <w14:ligatures w14:val="none"/>
        </w:rPr>
        <w:t>CACCAMO ha ricordato che la Società delle Nazioni non fu in grado di gestire crisi come l'aggressione giapponese in Manciuria, l'uscita della Germania nel 1933 e la crisi etiopica, segnando il suo fallimento come strumento di mantenimento della pace.</w:t>
      </w:r>
    </w:p>
    <w:p w14:paraId="234A00F8"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Tentativi di Revisione e Conferenza di Locarno: </w:t>
      </w:r>
      <w:r w:rsidRPr="00A636A1">
        <w:rPr>
          <w:rFonts w:ascii="Times New Roman" w:eastAsia="Times New Roman" w:hAnsi="Times New Roman" w:cs="Times New Roman"/>
          <w:kern w:val="0"/>
          <w:lang w:eastAsia="it-IT"/>
          <w14:ligatures w14:val="none"/>
        </w:rPr>
        <w:t>CACCAMO ha menzionato il tentativo di revisione del regime delle riparazioni e la Conferenza di Locarno come momenti in cui sembrava possibile una pacificazione europea, ma che non riuscirono a consolidare un equilibrio duraturo.</w:t>
      </w:r>
    </w:p>
    <w:p w14:paraId="6913DDF1" w14:textId="77777777" w:rsidR="00A636A1" w:rsidRPr="00A636A1" w:rsidRDefault="00A636A1" w:rsidP="00A636A1">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Negoziati e Conferenze della Seconda Guerra Mondiale: </w:t>
      </w:r>
      <w:r w:rsidRPr="00A636A1">
        <w:rPr>
          <w:rFonts w:ascii="Times New Roman" w:eastAsia="Times New Roman" w:hAnsi="Times New Roman" w:cs="Times New Roman"/>
          <w:kern w:val="0"/>
          <w:lang w:eastAsia="it-IT"/>
          <w14:ligatures w14:val="none"/>
        </w:rPr>
        <w:t>CACCAMO ha illustrato come le esperienze e i fallimenti dei negoziati post-Prima guerra mondiale abbiano influenzato le conferenze tra gli Alleati durante la Seconda guerra mondiale, con particolare attenzione ai diversi obiettivi di Stalin, Roosevelt e Churchill.</w:t>
      </w:r>
    </w:p>
    <w:p w14:paraId="3A365B11"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Obiettivi Contrapposti degli Alleati: </w:t>
      </w:r>
      <w:r w:rsidRPr="00A636A1">
        <w:rPr>
          <w:rFonts w:ascii="Times New Roman" w:eastAsia="Times New Roman" w:hAnsi="Times New Roman" w:cs="Times New Roman"/>
          <w:kern w:val="0"/>
          <w:lang w:eastAsia="it-IT"/>
          <w14:ligatures w14:val="none"/>
        </w:rPr>
        <w:t>CACCAMO ha spiegato che le conferenze di Casablanca, Teheran e Yalta videro la presenza di Stati Uniti, Unione Sovietica e Regno Unito, ciascuno con obiettivi distinti: Stalin puntava alla sicurezza tramite espansione, Roosevelt a un nuovo ordine multilaterale e Churchill alla difesa degli interessi imperiali britannici.</w:t>
      </w:r>
    </w:p>
    <w:p w14:paraId="52505FF6"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Eredità del Trattato di Versailles: </w:t>
      </w:r>
      <w:r w:rsidRPr="00A636A1">
        <w:rPr>
          <w:rFonts w:ascii="Times New Roman" w:eastAsia="Times New Roman" w:hAnsi="Times New Roman" w:cs="Times New Roman"/>
          <w:kern w:val="0"/>
          <w:lang w:eastAsia="it-IT"/>
          <w14:ligatures w14:val="none"/>
        </w:rPr>
        <w:t>CACCAMO ha sottolineato che le scelte di Stalin furono condizionate dal desiderio di evitare l'isolamento subito dalla Russia dopo la Prima guerra mondiale, mentre Roosevelt cercava di evitare gli errori dell'isolazionismo americano.</w:t>
      </w:r>
    </w:p>
    <w:p w14:paraId="707E3077"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Visioni Diverse sul Futuro: </w:t>
      </w:r>
      <w:r w:rsidRPr="00A636A1">
        <w:rPr>
          <w:rFonts w:ascii="Times New Roman" w:eastAsia="Times New Roman" w:hAnsi="Times New Roman" w:cs="Times New Roman"/>
          <w:kern w:val="0"/>
          <w:lang w:eastAsia="it-IT"/>
          <w14:ligatures w14:val="none"/>
        </w:rPr>
        <w:t>CACCAMO ha presentato la definizione dei tre leader: Roosevelt come uomo del futuro, Stalin del presente e Churchill del passato, a rappresentare tre visioni destinate a entrare in conflitto e a non consolidare una pace duratura secondo il modello multilaterale auspicato da Roosevelt.</w:t>
      </w:r>
    </w:p>
    <w:p w14:paraId="341625BD" w14:textId="77777777" w:rsidR="00A636A1" w:rsidRPr="00A636A1" w:rsidRDefault="00A636A1" w:rsidP="00A636A1">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Dinamiche della Guerra Fredda e Nuovi Equilibri Internazionali: </w:t>
      </w:r>
      <w:r w:rsidRPr="00A636A1">
        <w:rPr>
          <w:rFonts w:ascii="Times New Roman" w:eastAsia="Times New Roman" w:hAnsi="Times New Roman" w:cs="Times New Roman"/>
          <w:kern w:val="0"/>
          <w:lang w:eastAsia="it-IT"/>
          <w14:ligatures w14:val="none"/>
        </w:rPr>
        <w:t>CACCAMO ha descritto come le divergenze tra le potenze vincitrici abbiano portato alla Guerra Fredda, al bipolarismo e infine alla transizione verso un sistema multipolare dopo il crollo del blocco sovietico.</w:t>
      </w:r>
    </w:p>
    <w:p w14:paraId="50B29BB3"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Origine del Bipolarismo: </w:t>
      </w:r>
      <w:r w:rsidRPr="00A636A1">
        <w:rPr>
          <w:rFonts w:ascii="Times New Roman" w:eastAsia="Times New Roman" w:hAnsi="Times New Roman" w:cs="Times New Roman"/>
          <w:kern w:val="0"/>
          <w:lang w:eastAsia="it-IT"/>
          <w14:ligatures w14:val="none"/>
        </w:rPr>
        <w:t>CACCAMO ha spiegato che la logica di sicurezza perseguita da Stalin portò alla creazione della sfera di influenza sovietica in Europa orientale, mentre gli Stati Uniti non poterono più ritirarsi come dopo la Prima guerra mondiale, consolidando così il sistema bipolare.</w:t>
      </w:r>
    </w:p>
    <w:p w14:paraId="6F0C0C46"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Divisione dell'Europa e Dottrina Brezhnev: </w:t>
      </w:r>
      <w:r w:rsidRPr="00A636A1">
        <w:rPr>
          <w:rFonts w:ascii="Times New Roman" w:eastAsia="Times New Roman" w:hAnsi="Times New Roman" w:cs="Times New Roman"/>
          <w:kern w:val="0"/>
          <w:lang w:eastAsia="it-IT"/>
          <w14:ligatures w14:val="none"/>
        </w:rPr>
        <w:t>CACCAMO ha illustrato come la divisione della Germania, la Cortina di ferro e la dottrina Brezhnev abbiano garantito una pace fondata sul controllo e non sul multilateralismo, con numerosi interventi sovietici nei paesi dell'Est Europa.</w:t>
      </w:r>
    </w:p>
    <w:p w14:paraId="3C3FC900" w14:textId="77777777" w:rsidR="00A636A1" w:rsidRPr="00A636A1" w:rsidRDefault="00A636A1" w:rsidP="00A636A1">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Transizione al Multipolarismo: </w:t>
      </w:r>
      <w:r w:rsidRPr="00A636A1">
        <w:rPr>
          <w:rFonts w:ascii="Times New Roman" w:eastAsia="Times New Roman" w:hAnsi="Times New Roman" w:cs="Times New Roman"/>
          <w:kern w:val="0"/>
          <w:lang w:eastAsia="it-IT"/>
          <w14:ligatures w14:val="none"/>
        </w:rPr>
        <w:t>CACCAMO ha concluso che il crollo del muro di Berlino e la liberazione dei paesi dell'Europa orientale hanno segnato la fine del bipolarismo, aprendo la strada a una fase di multipolarismo internazionale.</w:t>
      </w:r>
    </w:p>
    <w:p w14:paraId="760ECA4E" w14:textId="77777777" w:rsidR="00A636A1" w:rsidRPr="00A636A1" w:rsidRDefault="00A636A1" w:rsidP="00A636A1">
      <w:pPr>
        <w:spacing w:after="0"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kern w:val="0"/>
          <w:lang w:eastAsia="it-IT"/>
          <w14:ligatures w14:val="none"/>
        </w:rPr>
        <w:t>Follow-up tasks:</w:t>
      </w:r>
    </w:p>
    <w:p w14:paraId="30741337" w14:textId="77777777" w:rsidR="00A636A1" w:rsidRPr="00A636A1" w:rsidRDefault="00A636A1" w:rsidP="00A636A1">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636A1">
        <w:rPr>
          <w:rFonts w:ascii="Times New Roman" w:eastAsia="Times New Roman" w:hAnsi="Times New Roman" w:cs="Times New Roman"/>
          <w:b/>
          <w:bCs/>
          <w:kern w:val="0"/>
          <w:lang w:eastAsia="it-IT"/>
          <w14:ligatures w14:val="none"/>
        </w:rPr>
        <w:t xml:space="preserve">Nessun action item emerso: </w:t>
      </w:r>
      <w:r w:rsidRPr="00A636A1">
        <w:rPr>
          <w:rFonts w:ascii="Times New Roman" w:eastAsia="Times New Roman" w:hAnsi="Times New Roman" w:cs="Times New Roman"/>
          <w:kern w:val="0"/>
          <w:lang w:eastAsia="it-IT"/>
          <w14:ligatures w14:val="none"/>
        </w:rPr>
        <w:t>Nessuna azione di follow-up è stata identificata durante la riunione. (Nessuno)</w:t>
      </w:r>
    </w:p>
    <w:p w14:paraId="1B80B09A" w14:textId="77777777" w:rsidR="00A636A1" w:rsidRDefault="00A636A1"/>
    <w:sectPr w:rsidR="00A636A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87B91"/>
    <w:multiLevelType w:val="multilevel"/>
    <w:tmpl w:val="75C47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127CE9"/>
    <w:multiLevelType w:val="multilevel"/>
    <w:tmpl w:val="993C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975487">
    <w:abstractNumId w:val="0"/>
  </w:num>
  <w:num w:numId="2" w16cid:durableId="1956714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A1"/>
    <w:rsid w:val="0041551A"/>
    <w:rsid w:val="00A636A1"/>
  </w:rsids>
  <m:mathPr>
    <m:mathFont m:val="Cambria Math"/>
    <m:brkBin m:val="before"/>
    <m:brkBinSub m:val="--"/>
    <m:smallFrac m:val="0"/>
    <m:dispDef/>
    <m:lMargin m:val="0"/>
    <m:rMargin m:val="0"/>
    <m:defJc m:val="centerGroup"/>
    <m:wrapIndent m:val="1440"/>
    <m:intLim m:val="subSup"/>
    <m:naryLim m:val="undOvr"/>
  </m:mathPr>
  <w:themeFontLang w:val="it-US"/>
  <w:clrSchemeMapping w:bg1="light1" w:t1="dark1" w:bg2="light2" w:t2="dark2" w:accent1="accent1" w:accent2="accent2" w:accent3="accent3" w:accent4="accent4" w:accent5="accent5" w:accent6="accent6" w:hyperlink="hyperlink" w:followedHyperlink="followedHyperlink"/>
  <w:decimalSymbol w:val="."/>
  <w:listSeparator w:val=";"/>
  <w14:docId w14:val="10DAF190"/>
  <w15:chartTrackingRefBased/>
  <w15:docId w15:val="{F1783620-95E1-9748-8257-4A0B9627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63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63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636A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636A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636A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636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636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636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636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636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636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636A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636A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636A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636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636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636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636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63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636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636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636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636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636A1"/>
    <w:rPr>
      <w:i/>
      <w:iCs/>
      <w:color w:val="404040" w:themeColor="text1" w:themeTint="BF"/>
    </w:rPr>
  </w:style>
  <w:style w:type="paragraph" w:styleId="Paragrafoelenco">
    <w:name w:val="List Paragraph"/>
    <w:basedOn w:val="Normale"/>
    <w:uiPriority w:val="34"/>
    <w:qFormat/>
    <w:rsid w:val="00A636A1"/>
    <w:pPr>
      <w:ind w:left="720"/>
      <w:contextualSpacing/>
    </w:pPr>
  </w:style>
  <w:style w:type="character" w:styleId="Enfasiintensa">
    <w:name w:val="Intense Emphasis"/>
    <w:basedOn w:val="Carpredefinitoparagrafo"/>
    <w:uiPriority w:val="21"/>
    <w:qFormat/>
    <w:rsid w:val="00A636A1"/>
    <w:rPr>
      <w:i/>
      <w:iCs/>
      <w:color w:val="0F4761" w:themeColor="accent1" w:themeShade="BF"/>
    </w:rPr>
  </w:style>
  <w:style w:type="paragraph" w:styleId="Citazioneintensa">
    <w:name w:val="Intense Quote"/>
    <w:basedOn w:val="Normale"/>
    <w:next w:val="Normale"/>
    <w:link w:val="CitazioneintensaCarattere"/>
    <w:uiPriority w:val="30"/>
    <w:qFormat/>
    <w:rsid w:val="00A63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636A1"/>
    <w:rPr>
      <w:i/>
      <w:iCs/>
      <w:color w:val="0F4761" w:themeColor="accent1" w:themeShade="BF"/>
    </w:rPr>
  </w:style>
  <w:style w:type="character" w:styleId="Riferimentointenso">
    <w:name w:val="Intense Reference"/>
    <w:basedOn w:val="Carpredefinitoparagrafo"/>
    <w:uiPriority w:val="32"/>
    <w:qFormat/>
    <w:rsid w:val="00A636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5605</Characters>
  <Application>Microsoft Office Word</Application>
  <DocSecurity>0</DocSecurity>
  <Lines>97</Lines>
  <Paragraphs>25</Paragraphs>
  <ScaleCrop>false</ScaleCrop>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Flaviano Londero</dc:creator>
  <cp:keywords/>
  <dc:description/>
  <cp:lastModifiedBy>Flaviano Londero</cp:lastModifiedBy>
  <cp:revision>1</cp:revision>
  <dcterms:created xsi:type="dcterms:W3CDTF">2026-04-14T13:11:00Z</dcterms:created>
  <dcterms:modified xsi:type="dcterms:W3CDTF">2026-04-14T13:11:00Z</dcterms:modified>
</cp:coreProperties>
</file>